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EA9D59" w14:textId="77777777" w:rsidR="0090257B" w:rsidRPr="00092B7B" w:rsidRDefault="0090257B" w:rsidP="00754A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МЕТОДИКА ЗА ОЦЕНКА НА ФИНАНСОВИЯ КАПАЦИТЕТ НА </w:t>
      </w:r>
    </w:p>
    <w:p w14:paraId="2654104D" w14:textId="0AA57B5D" w:rsidR="00EA0BB7" w:rsidRPr="00092B7B" w:rsidRDefault="0090257B" w:rsidP="00EA0B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КАНДИДАТИТЕ</w:t>
      </w:r>
      <w:r w:rsidR="00F920F4" w:rsidRPr="00092B7B">
        <w:rPr>
          <w:rFonts w:ascii="Times New Roman" w:hAnsi="Times New Roman" w:cs="Times New Roman"/>
          <w:b/>
          <w:sz w:val="24"/>
          <w:szCs w:val="24"/>
          <w:lang w:val="bg-BG"/>
        </w:rPr>
        <w:t>/ПАРТНЬОРИТЕ</w:t>
      </w: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 </w:t>
      </w:r>
      <w:r w:rsidR="00EA0BB7" w:rsidRPr="00092B7B">
        <w:rPr>
          <w:rFonts w:ascii="Times New Roman" w:hAnsi="Times New Roman" w:cs="Times New Roman"/>
          <w:b/>
          <w:sz w:val="24"/>
          <w:szCs w:val="24"/>
          <w:lang w:val="bg-BG"/>
        </w:rPr>
        <w:t>ПРОЦЕДУРА „СОЦИАЛНО –ИКОНОМИЧЕСКА ИНТЕГРАЦИЯ НА УЧЗВИМИ ГРУПИ. ИНТЕГРИРАНИ МЕРКИ ЗА ПОДОБРЯВАНЕ ДОСТЪПА ДО ОБРАЗОВАНИЕ“ – КОМПОНЕНТ 2</w:t>
      </w:r>
    </w:p>
    <w:p w14:paraId="02020FB3" w14:textId="77777777" w:rsidR="00EA0BB7" w:rsidRPr="00092B7B" w:rsidRDefault="00EA0BB7" w:rsidP="00EA0B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ОПЕРАТИВНА ПРОГРАМА </w:t>
      </w:r>
    </w:p>
    <w:p w14:paraId="24210292" w14:textId="77777777" w:rsidR="00EA0BB7" w:rsidRPr="00092B7B" w:rsidRDefault="00EA0BB7" w:rsidP="00EA0B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„РАЗВИТИЕ НА ЧОВЕШКИТЕ РЕСУРСИ“ 2014 – 2020 </w:t>
      </w:r>
    </w:p>
    <w:p w14:paraId="216C6BE4" w14:textId="77777777" w:rsidR="00EA0BB7" w:rsidRPr="0090257B" w:rsidRDefault="00EA0BB7" w:rsidP="00EA0BB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ОПЕРАТИВНА ПРОГРАМА „НАУКА И ОБРАЗОВАНИЕ З АИНТЕЛИГЕНТЕН РАСТЕЖ“ 2014 - 2020</w:t>
      </w:r>
    </w:p>
    <w:p w14:paraId="4C29668A" w14:textId="77777777" w:rsidR="00B938A0" w:rsidRPr="007E6929" w:rsidRDefault="00B938A0" w:rsidP="00EA0BB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14:paraId="6B4F9D2A" w14:textId="77777777" w:rsidR="00AC30D9" w:rsidRPr="00754AE5" w:rsidRDefault="00901460" w:rsidP="00754AE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Ref459024666"/>
      <w:r w:rsidRPr="00754AE5">
        <w:rPr>
          <w:rFonts w:ascii="Times New Roman" w:hAnsi="Times New Roman" w:cs="Times New Roman"/>
          <w:b/>
          <w:sz w:val="24"/>
          <w:szCs w:val="24"/>
          <w:lang w:val="bg-BG"/>
        </w:rPr>
        <w:t>Регулаторна рамка</w:t>
      </w:r>
      <w:bookmarkEnd w:id="0"/>
    </w:p>
    <w:p w14:paraId="684D422D" w14:textId="4F716627" w:rsidR="00D274CD" w:rsidRDefault="00D274CD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Настоящата методика за оценка на финансовия капацитет на кандидат</w:t>
      </w:r>
      <w:r w:rsidR="006369D2" w:rsidRPr="0090257B">
        <w:rPr>
          <w:rFonts w:ascii="Times New Roman" w:hAnsi="Times New Roman" w:cs="Times New Roman"/>
          <w:sz w:val="24"/>
          <w:szCs w:val="24"/>
          <w:lang w:val="bg-BG"/>
        </w:rPr>
        <w:t>ите</w:t>
      </w:r>
      <w:r w:rsidR="00F920F4">
        <w:rPr>
          <w:rFonts w:ascii="Times New Roman" w:hAnsi="Times New Roman" w:cs="Times New Roman"/>
          <w:sz w:val="24"/>
          <w:szCs w:val="24"/>
          <w:lang w:val="bg-BG"/>
        </w:rPr>
        <w:t>/партньорите</w:t>
      </w:r>
      <w:r w:rsidR="006369D2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по Оперативна Програма „Развитие на Човешките Ресурси“ 2014 – 2020 г. е разработена в изпълнение на член 125, ал.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3, т.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>(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г) от Регламент 1303/2013, член 196, ал. 1 от Регламент 1268/2012 и член 202, ал.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2 и 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ал.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3 от Регламент 1268/2012</w:t>
      </w:r>
      <w:r w:rsidR="009F7052" w:rsidRPr="009025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6F0A42B" w14:textId="77777777" w:rsidR="00754AE5" w:rsidRPr="0090257B" w:rsidRDefault="00754AE5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8D6EE13" w14:textId="77777777" w:rsidR="00754AE5" w:rsidRPr="00754AE5" w:rsidRDefault="009F7052" w:rsidP="00754AE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sz w:val="24"/>
          <w:szCs w:val="24"/>
          <w:lang w:val="bg-BG"/>
        </w:rPr>
        <w:t>Изискуеми документи</w:t>
      </w:r>
    </w:p>
    <w:p w14:paraId="349BFD78" w14:textId="77777777" w:rsidR="002A1000" w:rsidRPr="00092B7B" w:rsidRDefault="007E6929" w:rsidP="002E196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По ОП РЧР</w:t>
      </w:r>
      <w:r w:rsidR="002A1000" w:rsidRPr="00092B7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1DF46B3E" w14:textId="270FBA42" w:rsidR="002E1965" w:rsidRPr="002E1965" w:rsidRDefault="00FF2795" w:rsidP="004D65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GoBack"/>
      <w:bookmarkEnd w:id="1"/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При подаване на </w:t>
      </w:r>
      <w:r w:rsidR="00901460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проектни предложения </w:t>
      </w:r>
      <w:r w:rsidR="000E4FCB">
        <w:rPr>
          <w:rFonts w:ascii="Times New Roman" w:hAnsi="Times New Roman" w:cs="Times New Roman"/>
          <w:sz w:val="24"/>
          <w:szCs w:val="24"/>
          <w:lang w:val="bg-BG"/>
        </w:rPr>
        <w:t>партньорите</w:t>
      </w:r>
      <w:r w:rsidR="00901460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представ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ят</w:t>
      </w:r>
      <w:r w:rsidR="00901460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50B6F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счетоводен баланс за </w:t>
      </w:r>
      <w:r w:rsidR="002E1965">
        <w:rPr>
          <w:rFonts w:ascii="Times New Roman" w:hAnsi="Times New Roman" w:cs="Times New Roman"/>
          <w:sz w:val="24"/>
          <w:szCs w:val="24"/>
          <w:lang w:val="bg-BG"/>
        </w:rPr>
        <w:t xml:space="preserve">предходната </w:t>
      </w:r>
      <w:r w:rsidR="00016B8B">
        <w:rPr>
          <w:rFonts w:ascii="Times New Roman" w:hAnsi="Times New Roman" w:cs="Times New Roman"/>
          <w:sz w:val="24"/>
          <w:szCs w:val="24"/>
          <w:lang w:val="bg-BG"/>
        </w:rPr>
        <w:t>финансова година</w:t>
      </w:r>
      <w:r w:rsidR="004D6543">
        <w:rPr>
          <w:rFonts w:ascii="Times New Roman" w:hAnsi="Times New Roman" w:cs="Times New Roman"/>
          <w:sz w:val="24"/>
          <w:szCs w:val="24"/>
          <w:lang w:val="bg-BG"/>
        </w:rPr>
        <w:t xml:space="preserve"> и Междинен отчет към 31.10.2020 г.</w:t>
      </w:r>
    </w:p>
    <w:p w14:paraId="72373ABA" w14:textId="77777777" w:rsidR="007E6929" w:rsidRPr="007E6929" w:rsidRDefault="002E1965" w:rsidP="004D65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Когато партньорът е </w:t>
      </w:r>
      <w:proofErr w:type="spellStart"/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новорегистрирана</w:t>
      </w:r>
      <w:proofErr w:type="spellEnd"/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/новосъздадена</w:t>
      </w:r>
      <w:r w:rsidRPr="002E1965">
        <w:rPr>
          <w:rFonts w:ascii="Times New Roman" w:hAnsi="Times New Roman" w:cs="Times New Roman"/>
          <w:sz w:val="24"/>
          <w:szCs w:val="24"/>
          <w:lang w:val="bg-BG"/>
        </w:rPr>
        <w:t xml:space="preserve"> през текущата година организация, следва да </w:t>
      </w:r>
      <w:r w:rsidR="007E6929">
        <w:rPr>
          <w:rFonts w:ascii="Times New Roman" w:hAnsi="Times New Roman" w:cs="Times New Roman"/>
          <w:sz w:val="24"/>
          <w:szCs w:val="24"/>
          <w:lang w:val="bg-BG"/>
        </w:rPr>
        <w:t>приложи с</w:t>
      </w:r>
      <w:r w:rsidRPr="002E1965">
        <w:rPr>
          <w:rFonts w:ascii="Times New Roman" w:hAnsi="Times New Roman" w:cs="Times New Roman"/>
          <w:sz w:val="24"/>
          <w:szCs w:val="24"/>
          <w:lang w:val="bg-BG"/>
        </w:rPr>
        <w:t>четоводен баланс за периода от регистрацията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E1965">
        <w:rPr>
          <w:rFonts w:ascii="Times New Roman" w:hAnsi="Times New Roman" w:cs="Times New Roman"/>
          <w:sz w:val="24"/>
          <w:szCs w:val="24"/>
          <w:lang w:val="bg-BG"/>
        </w:rPr>
        <w:t>партньора до последната дата на месеца, предхождащ месеца на кандидатстване</w:t>
      </w:r>
      <w:r w:rsidR="007E6929">
        <w:rPr>
          <w:rFonts w:ascii="Times New Roman" w:hAnsi="Times New Roman" w:cs="Times New Roman"/>
          <w:sz w:val="24"/>
          <w:szCs w:val="24"/>
          <w:lang w:val="bg-BG"/>
        </w:rPr>
        <w:t xml:space="preserve"> в </w:t>
      </w:r>
      <w:r w:rsidR="007E6929" w:rsidRPr="002E196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E6929" w:rsidRPr="007E6929">
        <w:rPr>
          <w:rFonts w:ascii="Times New Roman" w:hAnsi="Times New Roman" w:cs="Times New Roman"/>
          <w:sz w:val="24"/>
          <w:szCs w:val="24"/>
          <w:lang w:val="bg-BG"/>
        </w:rPr>
        <w:t>ИСУН 2020 на етап подаване на проектно предложение.</w:t>
      </w:r>
    </w:p>
    <w:p w14:paraId="06E75EDF" w14:textId="44157843" w:rsidR="002E1965" w:rsidRPr="002E1965" w:rsidRDefault="002E1965" w:rsidP="004D65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За партньори – ЮЛНЦ  по ОП НОИР</w:t>
      </w:r>
      <w:r w:rsidRPr="007E6929">
        <w:rPr>
          <w:rFonts w:ascii="Times New Roman" w:hAnsi="Times New Roman" w:cs="Times New Roman"/>
          <w:sz w:val="24"/>
          <w:szCs w:val="24"/>
          <w:lang w:val="bg-BG"/>
        </w:rPr>
        <w:t xml:space="preserve"> финансовият капацитет се доказва с приложен счетоводен баланс и отчет за приходите и разходите за текущата</w:t>
      </w:r>
      <w:r w:rsidR="007E6929">
        <w:rPr>
          <w:rStyle w:val="FootnoteReference"/>
          <w:rFonts w:ascii="Times New Roman" w:hAnsi="Times New Roman" w:cs="Times New Roman"/>
          <w:sz w:val="24"/>
          <w:szCs w:val="24"/>
          <w:lang w:val="bg-BG"/>
        </w:rPr>
        <w:footnoteReference w:id="1"/>
      </w:r>
      <w:r w:rsidRPr="007E6929">
        <w:rPr>
          <w:rFonts w:ascii="Times New Roman" w:hAnsi="Times New Roman" w:cs="Times New Roman"/>
          <w:sz w:val="24"/>
          <w:szCs w:val="24"/>
          <w:lang w:val="bg-BG"/>
        </w:rPr>
        <w:t xml:space="preserve"> и за предходната година.</w:t>
      </w:r>
    </w:p>
    <w:p w14:paraId="0C1983A5" w14:textId="0C5474A7" w:rsidR="00837BBA" w:rsidRPr="002E1965" w:rsidRDefault="007E6929" w:rsidP="00016B8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E6929">
        <w:rPr>
          <w:rFonts w:ascii="Times New Roman" w:hAnsi="Times New Roman" w:cs="Times New Roman"/>
          <w:sz w:val="24"/>
          <w:szCs w:val="24"/>
          <w:lang w:val="bg-BG"/>
        </w:rPr>
        <w:t xml:space="preserve">В случай че проектното предложение е подадено през месец януари на текущата календарна година,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партньорите по </w:t>
      </w:r>
      <w:r w:rsidRPr="007E6929">
        <w:rPr>
          <w:rFonts w:ascii="Times New Roman" w:hAnsi="Times New Roman" w:cs="Times New Roman"/>
          <w:sz w:val="24"/>
          <w:szCs w:val="24"/>
          <w:lang w:val="bg-BG"/>
        </w:rPr>
        <w:t xml:space="preserve"> ОП НОИР следва да приложат счетоводен баланс и отчет за приходите и разходите за двете предходни години.</w:t>
      </w:r>
    </w:p>
    <w:p w14:paraId="22FEE9F5" w14:textId="1AAD508B" w:rsidR="00FD473A" w:rsidRPr="00AA6DDA" w:rsidRDefault="00FD473A" w:rsidP="004D65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6DDA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Pr="00AA6DDA">
        <w:rPr>
          <w:rFonts w:ascii="Times New Roman" w:hAnsi="Times New Roman" w:cs="Times New Roman"/>
          <w:b/>
          <w:sz w:val="24"/>
          <w:szCs w:val="24"/>
          <w:lang w:val="bg-BG"/>
        </w:rPr>
        <w:t>партньорът е община</w:t>
      </w:r>
      <w:r w:rsidRPr="00AA6DDA">
        <w:rPr>
          <w:rFonts w:ascii="Times New Roman" w:hAnsi="Times New Roman" w:cs="Times New Roman"/>
          <w:sz w:val="24"/>
          <w:szCs w:val="24"/>
          <w:lang w:val="bg-BG"/>
        </w:rPr>
        <w:t xml:space="preserve"> се прави служебна проверка в Закона за държавния бюджет. Счита се, че организацията разполага с необходимия финансов капацитет, ако </w:t>
      </w:r>
      <w:r w:rsidRPr="00AA6DDA">
        <w:rPr>
          <w:rFonts w:ascii="Times New Roman" w:hAnsi="Times New Roman" w:cs="Times New Roman"/>
          <w:sz w:val="24"/>
          <w:szCs w:val="24"/>
          <w:lang w:val="bg-BG"/>
        </w:rPr>
        <w:lastRenderedPageBreak/>
        <w:t>утвърдените разходи по бюджета на общината  за текущата година са по-високи от размера на средствата (БФП), които ще разходва партньорът по проекта.</w:t>
      </w:r>
    </w:p>
    <w:p w14:paraId="28621088" w14:textId="743DFB4E" w:rsidR="00FD473A" w:rsidRPr="00AA6DDA" w:rsidRDefault="00FD473A" w:rsidP="004D654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A6DDA">
        <w:rPr>
          <w:rFonts w:ascii="Times New Roman" w:hAnsi="Times New Roman" w:cs="Times New Roman"/>
          <w:sz w:val="24"/>
          <w:szCs w:val="24"/>
          <w:lang w:val="bg-BG"/>
        </w:rPr>
        <w:t xml:space="preserve">Когато </w:t>
      </w:r>
      <w:r w:rsidRPr="00AA6DDA">
        <w:rPr>
          <w:rFonts w:ascii="Times New Roman" w:hAnsi="Times New Roman" w:cs="Times New Roman"/>
          <w:b/>
          <w:sz w:val="24"/>
          <w:szCs w:val="24"/>
          <w:lang w:val="bg-BG"/>
        </w:rPr>
        <w:t>партньорът е второстепенен разпоредител с бюджетни средства</w:t>
      </w:r>
      <w:r w:rsidRPr="00AA6DDA">
        <w:rPr>
          <w:rFonts w:ascii="Times New Roman" w:hAnsi="Times New Roman" w:cs="Times New Roman"/>
          <w:sz w:val="24"/>
          <w:szCs w:val="24"/>
          <w:lang w:val="bg-BG"/>
        </w:rPr>
        <w:t xml:space="preserve"> -  финансовият капацитет се доказва с писмо за подкрепа (в свободна форма) от съответния първостепенен разпоредител или друг документ, от който се потвърждава/доказва, че  утвърдените им разходи по бюджета за текущата година, са по-високи от размера на исканата БФП, която ще разходва партньора. Счита се, че организацията разполага с необходимия финансов капацитет, ако утвърдените разходи по бюджета на второстепенния разпоредител за текущата година са по високи от размера на исканата БФП, която ще разходва партньор</w:t>
      </w:r>
      <w:r>
        <w:rPr>
          <w:rFonts w:ascii="Times New Roman" w:hAnsi="Times New Roman" w:cs="Times New Roman"/>
          <w:sz w:val="24"/>
          <w:szCs w:val="24"/>
          <w:lang w:val="bg-BG"/>
        </w:rPr>
        <w:t>ът</w:t>
      </w:r>
      <w:r w:rsidRPr="00AA6DDA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20F18B" w14:textId="77777777" w:rsidR="00FD473A" w:rsidRPr="00016B8B" w:rsidRDefault="00FD473A" w:rsidP="00FD4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Изискването за финансов капацитет за партньори по ОПНОИР - държавни и общински училища и детски градини</w:t>
      </w:r>
      <w:r w:rsidRPr="00092B7B">
        <w:rPr>
          <w:lang w:val="bg-BG"/>
        </w:rPr>
        <w:t xml:space="preserve"> </w:t>
      </w:r>
      <w:r w:rsidRPr="00092B7B">
        <w:rPr>
          <w:rFonts w:ascii="Times New Roman" w:hAnsi="Times New Roman" w:cs="Times New Roman"/>
          <w:b/>
          <w:sz w:val="24"/>
          <w:szCs w:val="24"/>
          <w:lang w:val="bg-BG"/>
        </w:rPr>
        <w:t>се доказва с документ от съответния първостепенен разпоредител, от който се потвърждава/доказва, че утвърдените им разходи по бюджета за текущата година, са по-високи от размера на исканата БФП, която ще разходват. Счита се, че организацията разполага с необходимия финансов капацитет, ако утвърдените разходи по бюджета на второстепенния разпоредител за текущата година са по-високи от размера на исканата БФП, която ще разходват.</w:t>
      </w:r>
    </w:p>
    <w:p w14:paraId="1885E579" w14:textId="77777777" w:rsidR="00754AE5" w:rsidRPr="0090257B" w:rsidRDefault="00754AE5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3C102AF" w14:textId="764ECDFC" w:rsidR="006369D2" w:rsidRPr="00754AE5" w:rsidRDefault="006369D2" w:rsidP="00754AE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Изисквания към </w:t>
      </w:r>
      <w:r w:rsidR="000A3BCC">
        <w:rPr>
          <w:rFonts w:ascii="Times New Roman" w:hAnsi="Times New Roman" w:cs="Times New Roman"/>
          <w:b/>
          <w:sz w:val="24"/>
          <w:szCs w:val="24"/>
          <w:lang w:val="bg-BG"/>
        </w:rPr>
        <w:t>партньорите</w:t>
      </w:r>
    </w:p>
    <w:p w14:paraId="7E90E875" w14:textId="69A14444" w:rsidR="006369D2" w:rsidRPr="0090257B" w:rsidRDefault="00837BBA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0A3BCC">
        <w:rPr>
          <w:rFonts w:ascii="Times New Roman" w:hAnsi="Times New Roman" w:cs="Times New Roman"/>
          <w:sz w:val="24"/>
          <w:szCs w:val="24"/>
          <w:lang w:val="bg-BG"/>
        </w:rPr>
        <w:t>артньорите, които ще разходват средства по проекта,</w:t>
      </w:r>
      <w:r w:rsidR="006369D2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трябва да разполага</w:t>
      </w:r>
      <w:r w:rsidR="000A3BCC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6369D2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със стабилни и достатъчни източници на финансиране за поддържане на своята дейност през целия период на изпълнение на проекта, за който се отпускат безвъзмездните средства, и за участие в неговото финансиране.</w:t>
      </w:r>
    </w:p>
    <w:p w14:paraId="1832DE7F" w14:textId="77777777" w:rsidR="005751E8" w:rsidRDefault="006369D2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В случай, че оценителната комисия</w:t>
      </w:r>
      <w:r w:rsidR="00102707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5DEA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установи, че са налице индикации за затруднено финансово положение на кандидата, </w:t>
      </w:r>
      <w:r w:rsidR="00102707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комисията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ще отхвърли проектното предложени</w:t>
      </w:r>
      <w:r w:rsidR="00102707" w:rsidRPr="0090257B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B25DEA" w:rsidRPr="009025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28E69B4" w14:textId="77777777" w:rsidR="00754AE5" w:rsidRPr="0090257B" w:rsidRDefault="00754AE5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C7A07BD" w14:textId="77777777" w:rsidR="00B25DEA" w:rsidRPr="00754AE5" w:rsidRDefault="00B25DEA" w:rsidP="00754AE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sz w:val="24"/>
          <w:szCs w:val="24"/>
          <w:lang w:val="bg-BG"/>
        </w:rPr>
        <w:t>Въведение в разработването на метод</w:t>
      </w:r>
      <w:r w:rsidR="00754AE5">
        <w:rPr>
          <w:rFonts w:ascii="Times New Roman" w:hAnsi="Times New Roman" w:cs="Times New Roman"/>
          <w:b/>
          <w:sz w:val="24"/>
          <w:szCs w:val="24"/>
          <w:lang w:val="bg-BG"/>
        </w:rPr>
        <w:t>иката</w:t>
      </w:r>
    </w:p>
    <w:p w14:paraId="5087C67C" w14:textId="77777777" w:rsidR="00492ACD" w:rsidRPr="0090257B" w:rsidRDefault="005A2CD6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Оценката за</w:t>
      </w:r>
      <w:r w:rsidR="00492ACD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финансова стабилност дава </w:t>
      </w:r>
      <w:r w:rsidR="00D10335" w:rsidRPr="0090257B">
        <w:rPr>
          <w:rFonts w:ascii="Times New Roman" w:hAnsi="Times New Roman" w:cs="Times New Roman"/>
          <w:sz w:val="24"/>
          <w:szCs w:val="24"/>
          <w:lang w:val="bg-BG"/>
        </w:rPr>
        <w:t>информация</w:t>
      </w:r>
      <w:r w:rsidR="00492ACD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за качеството на финансовата структура на кандидата и предоставя увереност, че той ще бъде в състояние да изпълни проектните дейности за периода на действие на договора.</w:t>
      </w:r>
    </w:p>
    <w:p w14:paraId="03D66150" w14:textId="77777777" w:rsidR="00102707" w:rsidRPr="0090257B" w:rsidRDefault="00492ACD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Оценката се основава на няколко коефициента</w:t>
      </w:r>
      <w:r w:rsidR="003F4DBC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</w:p>
    <w:p w14:paraId="525FDA81" w14:textId="77777777" w:rsidR="00102707" w:rsidRPr="0090257B" w:rsidRDefault="003F4DBC" w:rsidP="00754AE5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коефициент за финансова независимост</w:t>
      </w:r>
    </w:p>
    <w:p w14:paraId="424E79A7" w14:textId="77777777" w:rsidR="00102707" w:rsidRPr="0090257B" w:rsidRDefault="003F4DBC" w:rsidP="00754AE5">
      <w:pPr>
        <w:pStyle w:val="ListParagraph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коефициент за рентабилност</w:t>
      </w:r>
      <w:r w:rsidR="00492ACD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14:paraId="579DDFFF" w14:textId="77777777" w:rsidR="005E77DC" w:rsidRPr="0090257B" w:rsidRDefault="003F4DBC" w:rsidP="00754AE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lastRenderedPageBreak/>
        <w:t>Методика отчита</w:t>
      </w:r>
      <w:r w:rsidR="005E77DC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специфични</w:t>
      </w:r>
      <w:r w:rsidR="00102707" w:rsidRPr="0090257B">
        <w:rPr>
          <w:rFonts w:ascii="Times New Roman" w:hAnsi="Times New Roman" w:cs="Times New Roman"/>
          <w:sz w:val="24"/>
          <w:szCs w:val="24"/>
          <w:lang w:val="bg-BG"/>
        </w:rPr>
        <w:t>те</w:t>
      </w:r>
      <w:r w:rsidR="005E77DC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характеристики на кандидатите и може да бъде използвана за организации с различни юридически форми от търговски </w:t>
      </w:r>
      <w:r w:rsidR="0021304A">
        <w:rPr>
          <w:rFonts w:ascii="Times New Roman" w:hAnsi="Times New Roman" w:cs="Times New Roman"/>
          <w:sz w:val="24"/>
          <w:szCs w:val="24"/>
          <w:lang w:val="bg-BG"/>
        </w:rPr>
        <w:t>дружества</w:t>
      </w:r>
      <w:r w:rsidR="005E77DC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до организации с нестопанска цел.</w:t>
      </w:r>
    </w:p>
    <w:p w14:paraId="5EA71BCB" w14:textId="77777777" w:rsidR="00102707" w:rsidRPr="0090257B" w:rsidRDefault="00102707" w:rsidP="00754AE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14:paraId="4BE212A3" w14:textId="77777777" w:rsidR="009264A6" w:rsidRPr="00754AE5" w:rsidRDefault="003F4DBC" w:rsidP="00754AE5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sz w:val="24"/>
          <w:szCs w:val="24"/>
          <w:lang w:val="bg-BG"/>
        </w:rPr>
        <w:t>Методика</w:t>
      </w:r>
    </w:p>
    <w:p w14:paraId="3AF1D387" w14:textId="77777777" w:rsidR="009264A6" w:rsidRPr="0090257B" w:rsidRDefault="00754AE5" w:rsidP="00754A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9264A6" w:rsidRPr="0090257B">
        <w:rPr>
          <w:rFonts w:ascii="Times New Roman" w:hAnsi="Times New Roman" w:cs="Times New Roman"/>
          <w:sz w:val="24"/>
          <w:szCs w:val="24"/>
          <w:lang w:val="bg-BG"/>
        </w:rPr>
        <w:t>оефициенти</w:t>
      </w:r>
      <w:r>
        <w:rPr>
          <w:rFonts w:ascii="Times New Roman" w:hAnsi="Times New Roman" w:cs="Times New Roman"/>
          <w:sz w:val="24"/>
          <w:szCs w:val="24"/>
          <w:lang w:val="bg-BG"/>
        </w:rPr>
        <w:t>те, които</w:t>
      </w:r>
      <w:r w:rsidR="009264A6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се използват за определяне на нивото на увереност произтичаща от процеса на оценка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са следните</w:t>
      </w:r>
      <w:r w:rsidR="009264A6" w:rsidRPr="0090257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6A4CB37D" w14:textId="77777777" w:rsidR="009264A6" w:rsidRDefault="009264A6" w:rsidP="00754AE5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i/>
          <w:sz w:val="24"/>
          <w:szCs w:val="24"/>
          <w:lang w:val="bg-BG"/>
        </w:rPr>
        <w:t>Оценка на финансовата стабилност</w:t>
      </w:r>
    </w:p>
    <w:p w14:paraId="1B8EAD43" w14:textId="77777777" w:rsidR="009264A6" w:rsidRPr="0090257B" w:rsidRDefault="009264A6" w:rsidP="00754AE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Тази оценка е основана на следните индикатори:</w:t>
      </w:r>
    </w:p>
    <w:tbl>
      <w:tblPr>
        <w:tblW w:w="0" w:type="auto"/>
        <w:tblInd w:w="1101" w:type="dxa"/>
        <w:tblBorders>
          <w:insideH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812"/>
      </w:tblGrid>
      <w:tr w:rsidR="003A4DF2" w:rsidRPr="0090257B" w14:paraId="7F7366E0" w14:textId="77777777" w:rsidTr="003A4DF2">
        <w:trPr>
          <w:cantSplit/>
          <w:trHeight w:val="392"/>
        </w:trPr>
        <w:tc>
          <w:tcPr>
            <w:tcW w:w="3260" w:type="dxa"/>
            <w:vMerge w:val="restart"/>
            <w:tcBorders>
              <w:top w:val="nil"/>
              <w:bottom w:val="single" w:sz="12" w:space="0" w:color="auto"/>
            </w:tcBorders>
            <w:vAlign w:val="center"/>
          </w:tcPr>
          <w:p w14:paraId="4B999791" w14:textId="77777777" w:rsidR="003A4DF2" w:rsidRPr="0090257B" w:rsidRDefault="003A4DF2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.Финансова независимост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=</w:t>
            </w:r>
          </w:p>
        </w:tc>
        <w:tc>
          <w:tcPr>
            <w:tcW w:w="4812" w:type="dxa"/>
            <w:tcBorders>
              <w:top w:val="nil"/>
              <w:bottom w:val="single" w:sz="18" w:space="0" w:color="auto"/>
            </w:tcBorders>
          </w:tcPr>
          <w:p w14:paraId="5E58604E" w14:textId="77777777" w:rsidR="003A4DF2" w:rsidRPr="007D7C2A" w:rsidRDefault="003A4DF2" w:rsidP="00040834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Собствен капитал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код 05000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4DF2" w:rsidRPr="0090257B" w14:paraId="0C606D4D" w14:textId="77777777" w:rsidTr="003A4DF2">
        <w:trPr>
          <w:cantSplit/>
        </w:trPr>
        <w:tc>
          <w:tcPr>
            <w:tcW w:w="3260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14:paraId="093E97B7" w14:textId="77777777" w:rsidR="003A4DF2" w:rsidRPr="0090257B" w:rsidRDefault="003A4DF2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2" w:type="dxa"/>
            <w:tcBorders>
              <w:top w:val="single" w:sz="18" w:space="0" w:color="auto"/>
              <w:bottom w:val="nil"/>
            </w:tcBorders>
          </w:tcPr>
          <w:p w14:paraId="414EF02B" w14:textId="77777777" w:rsidR="003A4DF2" w:rsidRPr="007D7C2A" w:rsidRDefault="003A4DF2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Сума на </w:t>
            </w:r>
            <w:r w:rsidR="00D10335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актива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код 0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00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4DF2" w:rsidRPr="0090257B" w14:paraId="4F6E9E95" w14:textId="77777777" w:rsidTr="003A4DF2">
        <w:trPr>
          <w:cantSplit/>
          <w:trHeight w:val="698"/>
        </w:trPr>
        <w:tc>
          <w:tcPr>
            <w:tcW w:w="3260" w:type="dxa"/>
            <w:vMerge w:val="restart"/>
            <w:tcBorders>
              <w:top w:val="nil"/>
            </w:tcBorders>
            <w:vAlign w:val="center"/>
          </w:tcPr>
          <w:p w14:paraId="6A4DE7FB" w14:textId="77777777" w:rsidR="003A4DF2" w:rsidRPr="0090257B" w:rsidRDefault="003A4DF2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II.  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Рентабилност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= </w:t>
            </w:r>
          </w:p>
        </w:tc>
        <w:tc>
          <w:tcPr>
            <w:tcW w:w="4812" w:type="dxa"/>
            <w:tcBorders>
              <w:top w:val="nil"/>
              <w:bottom w:val="single" w:sz="18" w:space="0" w:color="auto"/>
            </w:tcBorders>
            <w:vAlign w:val="center"/>
          </w:tcPr>
          <w:p w14:paraId="49C96D30" w14:textId="77777777" w:rsidR="003A4DF2" w:rsidRPr="007D7C2A" w:rsidRDefault="003A4DF2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Печалба или загуба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05600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4DF2" w:rsidRPr="0090257B" w14:paraId="138B1994" w14:textId="77777777" w:rsidTr="003A4DF2">
        <w:trPr>
          <w:cantSplit/>
        </w:trPr>
        <w:tc>
          <w:tcPr>
            <w:tcW w:w="3260" w:type="dxa"/>
            <w:vMerge/>
          </w:tcPr>
          <w:p w14:paraId="61C6934B" w14:textId="77777777" w:rsidR="003A4DF2" w:rsidRPr="0090257B" w:rsidRDefault="003A4DF2" w:rsidP="00754A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812" w:type="dxa"/>
            <w:tcBorders>
              <w:top w:val="single" w:sz="18" w:space="0" w:color="auto"/>
              <w:bottom w:val="nil"/>
            </w:tcBorders>
            <w:vAlign w:val="center"/>
          </w:tcPr>
          <w:p w14:paraId="1A0D83EF" w14:textId="77777777" w:rsidR="003A4DF2" w:rsidRPr="007D7C2A" w:rsidRDefault="003A4DF2" w:rsidP="0075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Сума на </w:t>
            </w:r>
            <w:r w:rsidR="004E0E1E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актива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40834">
              <w:rPr>
                <w:rFonts w:ascii="Times New Roman" w:eastAsia="Times New Roman" w:hAnsi="Times New Roman" w:cs="Times New Roman"/>
                <w:sz w:val="24"/>
                <w:szCs w:val="24"/>
              </w:rPr>
              <w:t>(04500)</w:t>
            </w:r>
          </w:p>
        </w:tc>
      </w:tr>
    </w:tbl>
    <w:p w14:paraId="5A610D9E" w14:textId="77777777" w:rsidR="003A4DF2" w:rsidRPr="0090257B" w:rsidRDefault="003A4DF2" w:rsidP="00754AE5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bg-BG"/>
        </w:rPr>
      </w:pPr>
    </w:p>
    <w:p w14:paraId="585451D8" w14:textId="6BCCD372" w:rsidR="00040834" w:rsidRDefault="00040834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Посочените кодове са данни от </w:t>
      </w:r>
      <w:r w:rsidR="0083226C">
        <w:rPr>
          <w:rFonts w:ascii="Times New Roman" w:hAnsi="Times New Roman" w:cs="Times New Roman"/>
          <w:sz w:val="24"/>
          <w:szCs w:val="24"/>
          <w:lang w:val="bg-BG"/>
        </w:rPr>
        <w:t>счетоводния баланс</w:t>
      </w:r>
      <w:r w:rsidR="007E6929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35D4B771" w14:textId="77777777" w:rsidR="003A4DF2" w:rsidRDefault="003A4DF2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Коефициента на финансова независимост отразява размера на собствения капитал като </w:t>
      </w:r>
      <w:r w:rsidR="004E0E1E" w:rsidRPr="0090257B">
        <w:rPr>
          <w:rFonts w:ascii="Times New Roman" w:hAnsi="Times New Roman" w:cs="Times New Roman"/>
          <w:sz w:val="24"/>
          <w:szCs w:val="24"/>
          <w:lang w:val="bg-BG"/>
        </w:rPr>
        <w:t>отношение към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общата сума на </w:t>
      </w:r>
      <w:r w:rsidR="0021304A">
        <w:rPr>
          <w:rFonts w:ascii="Times New Roman" w:hAnsi="Times New Roman" w:cs="Times New Roman"/>
          <w:sz w:val="24"/>
          <w:szCs w:val="24"/>
          <w:lang w:val="bg-BG"/>
        </w:rPr>
        <w:t>активите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. Това показва до каква степен организациите зависят от финансиране от трета страна. Колкото по-близо съотношението е до 1, толкова по финансово независима е организацията и има по-голяма автономия за управление. Колкото е по-близо съотношението до 0, толкова по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зависима е организацията е от финансиране от трета страна. Колкото по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нисък е коефициентът  на финансова независимост, толкова по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трудно ще бъде да получат кредити и </w:t>
      </w:r>
      <w:r w:rsidR="009F4130" w:rsidRPr="0090257B">
        <w:rPr>
          <w:rFonts w:ascii="Times New Roman" w:hAnsi="Times New Roman" w:cs="Times New Roman"/>
          <w:sz w:val="24"/>
          <w:szCs w:val="24"/>
          <w:lang w:val="bg-BG"/>
        </w:rPr>
        <w:t>външно финансиране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C8E3A13" w14:textId="77777777" w:rsidR="00754AE5" w:rsidRPr="0090257B" w:rsidRDefault="00754AE5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756C471" w14:textId="77777777" w:rsidR="004E0E1E" w:rsidRDefault="004E0E1E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Коефициента на рентабилност измерва ефективността с която организациите използват своите активи.</w:t>
      </w:r>
    </w:p>
    <w:p w14:paraId="16BAFF37" w14:textId="77777777" w:rsidR="004E0E1E" w:rsidRPr="00754AE5" w:rsidRDefault="003F4DBC" w:rsidP="00754AE5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4E0E1E" w:rsidRPr="00754AE5">
        <w:rPr>
          <w:rFonts w:ascii="Times New Roman" w:hAnsi="Times New Roman" w:cs="Times New Roman"/>
          <w:b/>
          <w:i/>
          <w:sz w:val="24"/>
          <w:szCs w:val="24"/>
          <w:lang w:val="bg-BG"/>
        </w:rPr>
        <w:t>Оценка</w:t>
      </w:r>
    </w:p>
    <w:p w14:paraId="1EDDA47E" w14:textId="59248B8C" w:rsidR="004E0E1E" w:rsidRPr="0090257B" w:rsidRDefault="004E0E1E" w:rsidP="00754AE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За да бъде определено нивото (лошо</w:t>
      </w:r>
      <w:r w:rsidR="00B60166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или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добро) на финансовата стабилност на </w:t>
      </w:r>
      <w:r w:rsidR="00837BBA">
        <w:rPr>
          <w:rFonts w:ascii="Times New Roman" w:hAnsi="Times New Roman" w:cs="Times New Roman"/>
          <w:sz w:val="24"/>
          <w:szCs w:val="24"/>
          <w:lang w:val="bg-BG"/>
        </w:rPr>
        <w:t>партньора/</w:t>
      </w:r>
      <w:proofErr w:type="spellStart"/>
      <w:r w:rsidR="00837BBA">
        <w:rPr>
          <w:rFonts w:ascii="Times New Roman" w:hAnsi="Times New Roman" w:cs="Times New Roman"/>
          <w:sz w:val="24"/>
          <w:szCs w:val="24"/>
          <w:lang w:val="bg-BG"/>
        </w:rPr>
        <w:t>ите</w:t>
      </w:r>
      <w:proofErr w:type="spellEnd"/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40834">
        <w:rPr>
          <w:rFonts w:ascii="Times New Roman" w:hAnsi="Times New Roman" w:cs="Times New Roman"/>
          <w:sz w:val="24"/>
          <w:szCs w:val="24"/>
          <w:lang w:val="bg-BG"/>
        </w:rPr>
        <w:t>се вземат предвид само данните</w:t>
      </w:r>
      <w:r w:rsidR="007E6929">
        <w:rPr>
          <w:rFonts w:ascii="Times New Roman" w:hAnsi="Times New Roman" w:cs="Times New Roman"/>
          <w:sz w:val="24"/>
          <w:szCs w:val="24"/>
          <w:lang w:val="bg-BG"/>
        </w:rPr>
        <w:t xml:space="preserve"> от п</w:t>
      </w:r>
      <w:r w:rsidR="007E6929" w:rsidRPr="007E6929">
        <w:rPr>
          <w:rFonts w:ascii="Times New Roman" w:hAnsi="Times New Roman" w:cs="Times New Roman"/>
          <w:sz w:val="24"/>
          <w:szCs w:val="24"/>
          <w:lang w:val="bg-BG"/>
        </w:rPr>
        <w:t xml:space="preserve">редходната финансова година по ОП РЧР </w:t>
      </w:r>
      <w:r w:rsidR="007E6929" w:rsidRPr="00092B7B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1F4E54" w:rsidRPr="00092B7B">
        <w:rPr>
          <w:rFonts w:ascii="Times New Roman" w:hAnsi="Times New Roman" w:cs="Times New Roman"/>
          <w:sz w:val="24"/>
          <w:szCs w:val="24"/>
          <w:lang w:val="bg-BG"/>
        </w:rPr>
        <w:t xml:space="preserve">предходната </w:t>
      </w:r>
      <w:r w:rsidR="007E6929" w:rsidRPr="00092B7B">
        <w:rPr>
          <w:rFonts w:ascii="Times New Roman" w:hAnsi="Times New Roman" w:cs="Times New Roman"/>
          <w:sz w:val="24"/>
          <w:szCs w:val="24"/>
          <w:lang w:val="bg-BG"/>
        </w:rPr>
        <w:t>финансова</w:t>
      </w:r>
      <w:r w:rsidR="007E6929" w:rsidRPr="007E6929">
        <w:rPr>
          <w:rFonts w:ascii="Times New Roman" w:hAnsi="Times New Roman" w:cs="Times New Roman"/>
          <w:sz w:val="24"/>
          <w:szCs w:val="24"/>
          <w:lang w:val="bg-BG"/>
        </w:rPr>
        <w:t xml:space="preserve"> година по ОП НОИР (в случай че проектното предложение е подадено през месец януари на текущата календарна година, се взимат стойностите за предходната финансова година)</w:t>
      </w:r>
      <w:r w:rsidR="007E69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3BCC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се използва следната таблица:</w:t>
      </w:r>
    </w:p>
    <w:p w14:paraId="37FC4280" w14:textId="77777777" w:rsidR="004E0E1E" w:rsidRPr="0090257B" w:rsidRDefault="004E0E1E" w:rsidP="00754A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8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119"/>
        <w:gridCol w:w="1700"/>
      </w:tblGrid>
      <w:tr w:rsidR="004E0E1E" w:rsidRPr="007E6929" w14:paraId="4B863F4D" w14:textId="77777777" w:rsidTr="00754AE5">
        <w:tc>
          <w:tcPr>
            <w:tcW w:w="3544" w:type="dxa"/>
            <w:vAlign w:val="center"/>
          </w:tcPr>
          <w:p w14:paraId="63900256" w14:textId="77777777" w:rsidR="004E0E1E" w:rsidRPr="0090257B" w:rsidRDefault="004313F7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Индикатори</w:t>
            </w:r>
          </w:p>
        </w:tc>
        <w:tc>
          <w:tcPr>
            <w:tcW w:w="3119" w:type="dxa"/>
            <w:vAlign w:val="center"/>
          </w:tcPr>
          <w:p w14:paraId="26B69547" w14:textId="77777777" w:rsidR="004E0E1E" w:rsidRPr="0090257B" w:rsidRDefault="004313F7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Резултат</w:t>
            </w:r>
          </w:p>
        </w:tc>
        <w:tc>
          <w:tcPr>
            <w:tcW w:w="1700" w:type="dxa"/>
            <w:vAlign w:val="center"/>
          </w:tcPr>
          <w:p w14:paraId="45899E2F" w14:textId="77777777" w:rsidR="004E0E1E" w:rsidRPr="0090257B" w:rsidRDefault="004313F7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4E0E1E" w:rsidRPr="0090257B" w14:paraId="128D84E7" w14:textId="77777777" w:rsidTr="00754AE5">
        <w:tc>
          <w:tcPr>
            <w:tcW w:w="3544" w:type="dxa"/>
            <w:vAlign w:val="center"/>
          </w:tcPr>
          <w:p w14:paraId="783738B9" w14:textId="77777777" w:rsidR="004E0E1E" w:rsidRPr="0090257B" w:rsidRDefault="004E0E1E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 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Финансова независимост (ФН)</w:t>
            </w:r>
          </w:p>
        </w:tc>
        <w:tc>
          <w:tcPr>
            <w:tcW w:w="3119" w:type="dxa"/>
            <w:vAlign w:val="center"/>
          </w:tcPr>
          <w:p w14:paraId="7988038B" w14:textId="77777777" w:rsidR="004E0E1E" w:rsidRPr="007E6929" w:rsidRDefault="004313F7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ФН</w:t>
            </w:r>
            <w:r w:rsidR="004E0E1E"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≥ 0,5</w:t>
            </w:r>
          </w:p>
          <w:p w14:paraId="71FCF2E4" w14:textId="77777777" w:rsidR="004E0E1E" w:rsidRPr="007E6929" w:rsidRDefault="004E0E1E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0,4 ≤ 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ФН</w:t>
            </w: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&lt; 0,5</w:t>
            </w:r>
          </w:p>
          <w:p w14:paraId="0FFEF75D" w14:textId="77777777" w:rsidR="004E0E1E" w:rsidRPr="007E6929" w:rsidRDefault="004E0E1E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0,3 ≤ 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ФН</w:t>
            </w: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&lt; 0,4</w:t>
            </w:r>
          </w:p>
          <w:p w14:paraId="436458DE" w14:textId="77777777" w:rsidR="004E0E1E" w:rsidRPr="007E6929" w:rsidRDefault="004E0E1E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 ≤ 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ФН</w:t>
            </w:r>
            <w:r w:rsidRPr="007E69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&lt; 0,3</w:t>
            </w:r>
          </w:p>
          <w:p w14:paraId="7BB20B52" w14:textId="77777777" w:rsidR="004E0E1E" w:rsidRPr="0090257B" w:rsidRDefault="009F4130" w:rsidP="00754AE5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ФН е отрицателно число</w:t>
            </w:r>
          </w:p>
        </w:tc>
        <w:tc>
          <w:tcPr>
            <w:tcW w:w="1700" w:type="dxa"/>
            <w:vAlign w:val="center"/>
          </w:tcPr>
          <w:p w14:paraId="78693E59" w14:textId="77777777" w:rsidR="004E0E1E" w:rsidRPr="0090257B" w:rsidRDefault="004E0E1E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7889DC62" w14:textId="77777777" w:rsidR="004E0E1E" w:rsidRPr="0090257B" w:rsidRDefault="004E0E1E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  <w:p w14:paraId="5BD885C6" w14:textId="77777777" w:rsidR="004E0E1E" w:rsidRPr="0090257B" w:rsidRDefault="004E0E1E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1C90E59B" w14:textId="77777777" w:rsidR="004E0E1E" w:rsidRPr="0090257B" w:rsidRDefault="004E0E1E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  <w:p w14:paraId="7DC53BA1" w14:textId="77777777" w:rsidR="004E0E1E" w:rsidRPr="0090257B" w:rsidRDefault="004E0E1E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-2</w:t>
            </w:r>
          </w:p>
        </w:tc>
      </w:tr>
      <w:tr w:rsidR="004E0E1E" w:rsidRPr="0090257B" w14:paraId="04A6E4C8" w14:textId="77777777" w:rsidTr="00754AE5">
        <w:trPr>
          <w:cantSplit/>
        </w:trPr>
        <w:tc>
          <w:tcPr>
            <w:tcW w:w="3544" w:type="dxa"/>
            <w:vAlign w:val="center"/>
          </w:tcPr>
          <w:p w14:paraId="5A305DAB" w14:textId="77777777" w:rsidR="004E0E1E" w:rsidRPr="0090257B" w:rsidRDefault="004E0E1E" w:rsidP="00754A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II.  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Рентабилност</w:t>
            </w:r>
          </w:p>
        </w:tc>
        <w:tc>
          <w:tcPr>
            <w:tcW w:w="3119" w:type="dxa"/>
            <w:vAlign w:val="center"/>
          </w:tcPr>
          <w:p w14:paraId="0C865B77" w14:textId="77777777" w:rsidR="004E0E1E" w:rsidRPr="0090257B" w:rsidRDefault="004313F7" w:rsidP="00754A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Рентабилност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E0E1E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≥ 2%</w:t>
            </w:r>
          </w:p>
          <w:p w14:paraId="196F9EC1" w14:textId="77777777" w:rsidR="004E0E1E" w:rsidRPr="0090257B" w:rsidRDefault="004E0E1E" w:rsidP="00754A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- 2% ≤ 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Рентабилност</w:t>
            </w:r>
            <w:r w:rsidR="004313F7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&lt; 2%</w:t>
            </w:r>
          </w:p>
          <w:p w14:paraId="6A2A0044" w14:textId="77777777" w:rsidR="004E0E1E" w:rsidRPr="0090257B" w:rsidRDefault="004313F7" w:rsidP="00754A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Рентабилност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E0E1E"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&lt; - 2%</w:t>
            </w:r>
          </w:p>
        </w:tc>
        <w:tc>
          <w:tcPr>
            <w:tcW w:w="1700" w:type="dxa"/>
            <w:vAlign w:val="center"/>
          </w:tcPr>
          <w:p w14:paraId="68592CB5" w14:textId="77777777" w:rsidR="004E0E1E" w:rsidRPr="0090257B" w:rsidRDefault="004E0E1E" w:rsidP="0075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  <w:p w14:paraId="40150D32" w14:textId="77777777" w:rsidR="004E0E1E" w:rsidRPr="0090257B" w:rsidRDefault="004E0E1E" w:rsidP="0075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  <w:p w14:paraId="02A81128" w14:textId="77777777" w:rsidR="004E0E1E" w:rsidRPr="0090257B" w:rsidRDefault="004E0E1E" w:rsidP="0075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0</w:t>
            </w:r>
          </w:p>
        </w:tc>
      </w:tr>
    </w:tbl>
    <w:p w14:paraId="11A37772" w14:textId="77777777" w:rsidR="00754AE5" w:rsidRDefault="00754AE5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72A1005" w14:textId="1071012C" w:rsidR="004313F7" w:rsidRDefault="003E50D7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Сумата на точките за всеки индикатор ще ни даде обща оценка за финансовата стабилност на </w:t>
      </w:r>
      <w:r w:rsidR="00837BBA">
        <w:rPr>
          <w:rFonts w:ascii="Times New Roman" w:hAnsi="Times New Roman" w:cs="Times New Roman"/>
          <w:sz w:val="24"/>
          <w:szCs w:val="24"/>
          <w:lang w:val="bg-BG"/>
        </w:rPr>
        <w:t>партньора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33B56293" w14:textId="77777777" w:rsidR="00754AE5" w:rsidRPr="0090257B" w:rsidRDefault="00754AE5" w:rsidP="00754AE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6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417"/>
      </w:tblGrid>
      <w:tr w:rsidR="00754AE5" w:rsidRPr="0090257B" w14:paraId="6D38D095" w14:textId="77777777" w:rsidTr="00754AE5">
        <w:tc>
          <w:tcPr>
            <w:tcW w:w="3402" w:type="dxa"/>
            <w:vAlign w:val="center"/>
          </w:tcPr>
          <w:p w14:paraId="50937FF6" w14:textId="77777777" w:rsidR="00754AE5" w:rsidRPr="0090257B" w:rsidRDefault="00754AE5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Оценка на финансовата стабилност</w:t>
            </w:r>
          </w:p>
        </w:tc>
        <w:tc>
          <w:tcPr>
            <w:tcW w:w="1701" w:type="dxa"/>
            <w:vAlign w:val="center"/>
          </w:tcPr>
          <w:p w14:paraId="45A0E30C" w14:textId="77777777" w:rsidR="00754AE5" w:rsidRPr="0090257B" w:rsidRDefault="00754AE5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Лоша</w:t>
            </w:r>
          </w:p>
        </w:tc>
        <w:tc>
          <w:tcPr>
            <w:tcW w:w="1417" w:type="dxa"/>
            <w:vAlign w:val="center"/>
          </w:tcPr>
          <w:p w14:paraId="483325AA" w14:textId="77777777" w:rsidR="00754AE5" w:rsidRPr="0090257B" w:rsidRDefault="00754AE5" w:rsidP="00754AE5">
            <w:pPr>
              <w:keepNext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Добра</w:t>
            </w:r>
          </w:p>
        </w:tc>
      </w:tr>
      <w:tr w:rsidR="00754AE5" w:rsidRPr="0090257B" w14:paraId="5B79CD6D" w14:textId="77777777" w:rsidTr="00754AE5">
        <w:tc>
          <w:tcPr>
            <w:tcW w:w="3402" w:type="dxa"/>
            <w:vAlign w:val="center"/>
          </w:tcPr>
          <w:p w14:paraId="37A6DE90" w14:textId="77777777" w:rsidR="00754AE5" w:rsidRPr="0090257B" w:rsidRDefault="00754AE5" w:rsidP="00754AE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 брой точки</w:t>
            </w:r>
          </w:p>
        </w:tc>
        <w:tc>
          <w:tcPr>
            <w:tcW w:w="1701" w:type="dxa"/>
            <w:vAlign w:val="center"/>
          </w:tcPr>
          <w:p w14:paraId="17B50CA9" w14:textId="77777777" w:rsidR="00754AE5" w:rsidRPr="0090257B" w:rsidRDefault="00754AE5" w:rsidP="003050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 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по малко</w:t>
            </w:r>
          </w:p>
        </w:tc>
        <w:tc>
          <w:tcPr>
            <w:tcW w:w="1417" w:type="dxa"/>
            <w:vAlign w:val="center"/>
          </w:tcPr>
          <w:p w14:paraId="17B37AC6" w14:textId="77777777" w:rsidR="00754AE5" w:rsidRPr="0090257B" w:rsidRDefault="00754AE5" w:rsidP="00754AE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0257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 повече</w:t>
            </w:r>
          </w:p>
        </w:tc>
      </w:tr>
    </w:tbl>
    <w:p w14:paraId="6ACAC415" w14:textId="77777777" w:rsidR="003E50D7" w:rsidRPr="0090257B" w:rsidRDefault="003E50D7" w:rsidP="00754AE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14:paraId="7FD152A2" w14:textId="77777777" w:rsidR="003E50D7" w:rsidRPr="00754AE5" w:rsidRDefault="003F4DBC" w:rsidP="00754AE5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 w:rsidRPr="00754AE5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 </w:t>
      </w:r>
      <w:r w:rsidR="009B6BA8" w:rsidRPr="00754AE5">
        <w:rPr>
          <w:rFonts w:ascii="Times New Roman" w:hAnsi="Times New Roman" w:cs="Times New Roman"/>
          <w:b/>
          <w:i/>
          <w:sz w:val="24"/>
          <w:szCs w:val="24"/>
          <w:lang w:val="bg-BG"/>
        </w:rPr>
        <w:t>Тълкуване на резултатите</w:t>
      </w:r>
    </w:p>
    <w:p w14:paraId="1C5C1E8B" w14:textId="5A46BE90" w:rsidR="009B6BA8" w:rsidRPr="0090257B" w:rsidRDefault="009B6BA8" w:rsidP="00754AE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sz w:val="24"/>
          <w:szCs w:val="24"/>
          <w:lang w:val="bg-BG"/>
        </w:rPr>
        <w:t>На осн</w:t>
      </w:r>
      <w:r w:rsidR="00102707" w:rsidRPr="0090257B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вата на общата оценка </w:t>
      </w:r>
      <w:r w:rsidR="00837BBA">
        <w:rPr>
          <w:rFonts w:ascii="Times New Roman" w:hAnsi="Times New Roman" w:cs="Times New Roman"/>
          <w:sz w:val="24"/>
          <w:szCs w:val="24"/>
          <w:lang w:val="bg-BG"/>
        </w:rPr>
        <w:t>партньорите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попадат в </w:t>
      </w:r>
      <w:r w:rsidR="00540FE6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две 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>основни категории</w:t>
      </w:r>
      <w:r w:rsidR="00D86AD8" w:rsidRPr="0090257B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50C808F" w14:textId="77777777" w:rsidR="00D86AD8" w:rsidRPr="0090257B" w:rsidRDefault="00102707" w:rsidP="00754AE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1. </w:t>
      </w:r>
      <w:r w:rsidR="00D86AD8" w:rsidRPr="009025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F4DBC" w:rsidRPr="009025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Добра </w:t>
      </w:r>
      <w:r w:rsidR="00067A31" w:rsidRPr="0090257B">
        <w:rPr>
          <w:rFonts w:ascii="Times New Roman" w:hAnsi="Times New Roman" w:cs="Times New Roman"/>
          <w:b/>
          <w:sz w:val="24"/>
          <w:szCs w:val="24"/>
          <w:lang w:val="bg-BG"/>
        </w:rPr>
        <w:t>финансова стабилност</w:t>
      </w:r>
    </w:p>
    <w:p w14:paraId="1BAC9B0F" w14:textId="67098263" w:rsidR="00067A31" w:rsidRPr="0090257B" w:rsidRDefault="00837BBA" w:rsidP="00754AE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Партньорът</w:t>
      </w:r>
      <w:r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67A31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демонстрира стабилен финансов профил. Изпълнени са условията за отпускане на безвъзмездна </w:t>
      </w:r>
      <w:r w:rsidR="00102707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финансова </w:t>
      </w:r>
      <w:r w:rsidR="00067A31" w:rsidRPr="0090257B">
        <w:rPr>
          <w:rFonts w:ascii="Times New Roman" w:hAnsi="Times New Roman" w:cs="Times New Roman"/>
          <w:sz w:val="24"/>
          <w:szCs w:val="24"/>
          <w:lang w:val="bg-BG"/>
        </w:rPr>
        <w:t xml:space="preserve">помощ при нисък риск за средствата </w:t>
      </w:r>
      <w:r w:rsidR="00754AE5">
        <w:rPr>
          <w:rFonts w:ascii="Times New Roman" w:hAnsi="Times New Roman" w:cs="Times New Roman"/>
          <w:sz w:val="24"/>
          <w:szCs w:val="24"/>
          <w:lang w:val="bg-BG"/>
        </w:rPr>
        <w:t>предоставяни от ЕС</w:t>
      </w:r>
      <w:r w:rsidR="00067A31" w:rsidRPr="0090257B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47C54F43" w14:textId="77777777" w:rsidR="00067A31" w:rsidRPr="0090257B" w:rsidRDefault="00102707" w:rsidP="00754AE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0257B">
        <w:rPr>
          <w:rFonts w:ascii="Times New Roman" w:hAnsi="Times New Roman" w:cs="Times New Roman"/>
          <w:b/>
          <w:sz w:val="24"/>
          <w:szCs w:val="24"/>
          <w:lang w:val="bg-BG"/>
        </w:rPr>
        <w:t xml:space="preserve">2. </w:t>
      </w:r>
      <w:r w:rsidR="00067A31" w:rsidRPr="0090257B">
        <w:rPr>
          <w:rFonts w:ascii="Times New Roman" w:hAnsi="Times New Roman" w:cs="Times New Roman"/>
          <w:b/>
          <w:sz w:val="24"/>
          <w:szCs w:val="24"/>
          <w:lang w:val="bg-BG"/>
        </w:rPr>
        <w:t>Лоша финансова стабилност</w:t>
      </w:r>
    </w:p>
    <w:p w14:paraId="15EF7166" w14:textId="77777777" w:rsidR="00C4321A" w:rsidRPr="0090257B" w:rsidRDefault="00C4321A" w:rsidP="00CB5325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C4321A" w:rsidRPr="0090257B" w:rsidSect="007D7C2A">
      <w:pgSz w:w="12240" w:h="15840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882C1" w14:textId="77777777" w:rsidR="00A079A4" w:rsidRDefault="00A079A4" w:rsidP="00B938A0">
      <w:pPr>
        <w:spacing w:after="0" w:line="240" w:lineRule="auto"/>
      </w:pPr>
      <w:r>
        <w:separator/>
      </w:r>
    </w:p>
  </w:endnote>
  <w:endnote w:type="continuationSeparator" w:id="0">
    <w:p w14:paraId="1DF15535" w14:textId="77777777" w:rsidR="00A079A4" w:rsidRDefault="00A079A4" w:rsidP="00B9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3A8082" w14:textId="77777777" w:rsidR="00A079A4" w:rsidRDefault="00A079A4" w:rsidP="00B938A0">
      <w:pPr>
        <w:spacing w:after="0" w:line="240" w:lineRule="auto"/>
      </w:pPr>
      <w:r>
        <w:separator/>
      </w:r>
    </w:p>
  </w:footnote>
  <w:footnote w:type="continuationSeparator" w:id="0">
    <w:p w14:paraId="2684D9C0" w14:textId="77777777" w:rsidR="00A079A4" w:rsidRDefault="00A079A4" w:rsidP="00B938A0">
      <w:pPr>
        <w:spacing w:after="0" w:line="240" w:lineRule="auto"/>
      </w:pPr>
      <w:r>
        <w:continuationSeparator/>
      </w:r>
    </w:p>
  </w:footnote>
  <w:footnote w:id="1">
    <w:p w14:paraId="06B37597" w14:textId="106106A9" w:rsidR="007E6929" w:rsidRPr="007E6929" w:rsidRDefault="007E6929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 w:rsidRPr="007E6929">
        <w:rPr>
          <w:lang w:val="bg-BG"/>
        </w:rPr>
        <w:t xml:space="preserve"> За периода от 01.</w:t>
      </w:r>
      <w:proofErr w:type="spellStart"/>
      <w:r w:rsidRPr="007E6929">
        <w:rPr>
          <w:lang w:val="bg-BG"/>
        </w:rPr>
        <w:t>01</w:t>
      </w:r>
      <w:proofErr w:type="spellEnd"/>
      <w:r w:rsidRPr="007E6929">
        <w:rPr>
          <w:lang w:val="bg-BG"/>
        </w:rPr>
        <w:t>. на текущата календарна година до последния ден на месеца, предхождащ датата на кандидатстване.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7D12"/>
    <w:multiLevelType w:val="hybridMultilevel"/>
    <w:tmpl w:val="02446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9D4CAA"/>
    <w:multiLevelType w:val="hybridMultilevel"/>
    <w:tmpl w:val="CB728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2491F"/>
    <w:multiLevelType w:val="hybridMultilevel"/>
    <w:tmpl w:val="85EE69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4003D"/>
    <w:multiLevelType w:val="hybridMultilevel"/>
    <w:tmpl w:val="D7B27E1E"/>
    <w:lvl w:ilvl="0" w:tplc="039E1B3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457983"/>
    <w:multiLevelType w:val="hybridMultilevel"/>
    <w:tmpl w:val="E4E49A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6C2720B"/>
    <w:multiLevelType w:val="multilevel"/>
    <w:tmpl w:val="C644C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46074344"/>
    <w:multiLevelType w:val="hybridMultilevel"/>
    <w:tmpl w:val="D040B0A8"/>
    <w:lvl w:ilvl="0" w:tplc="10E80B4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8D65817"/>
    <w:multiLevelType w:val="hybridMultilevel"/>
    <w:tmpl w:val="426810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7CA6B03"/>
    <w:multiLevelType w:val="hybridMultilevel"/>
    <w:tmpl w:val="38683A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E015AA2"/>
    <w:multiLevelType w:val="hybridMultilevel"/>
    <w:tmpl w:val="39606E5A"/>
    <w:lvl w:ilvl="0" w:tplc="7D7A11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606A6C"/>
    <w:multiLevelType w:val="hybridMultilevel"/>
    <w:tmpl w:val="DC08A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60"/>
    <w:rsid w:val="00016B8B"/>
    <w:rsid w:val="00025870"/>
    <w:rsid w:val="00040834"/>
    <w:rsid w:val="0004208E"/>
    <w:rsid w:val="000663E0"/>
    <w:rsid w:val="00067A31"/>
    <w:rsid w:val="00092B7B"/>
    <w:rsid w:val="000A3BCC"/>
    <w:rsid w:val="000E4FCB"/>
    <w:rsid w:val="00102707"/>
    <w:rsid w:val="00106B39"/>
    <w:rsid w:val="001522E6"/>
    <w:rsid w:val="00163844"/>
    <w:rsid w:val="0017221B"/>
    <w:rsid w:val="001753AE"/>
    <w:rsid w:val="001B39F2"/>
    <w:rsid w:val="001C79EA"/>
    <w:rsid w:val="001F4E54"/>
    <w:rsid w:val="002114EA"/>
    <w:rsid w:val="0021304A"/>
    <w:rsid w:val="002342BF"/>
    <w:rsid w:val="00265F3F"/>
    <w:rsid w:val="002722EA"/>
    <w:rsid w:val="00275BB5"/>
    <w:rsid w:val="002A1000"/>
    <w:rsid w:val="002A2527"/>
    <w:rsid w:val="002A746F"/>
    <w:rsid w:val="002E1965"/>
    <w:rsid w:val="002E5D81"/>
    <w:rsid w:val="00304175"/>
    <w:rsid w:val="00305095"/>
    <w:rsid w:val="003200C9"/>
    <w:rsid w:val="00364A0E"/>
    <w:rsid w:val="00387E26"/>
    <w:rsid w:val="003A1B5E"/>
    <w:rsid w:val="003A4DF2"/>
    <w:rsid w:val="003C4F2C"/>
    <w:rsid w:val="003E50D7"/>
    <w:rsid w:val="003E5162"/>
    <w:rsid w:val="003F4DBC"/>
    <w:rsid w:val="003F629F"/>
    <w:rsid w:val="00417DCE"/>
    <w:rsid w:val="0042352B"/>
    <w:rsid w:val="004313F7"/>
    <w:rsid w:val="00492ACD"/>
    <w:rsid w:val="004D6543"/>
    <w:rsid w:val="004E0E1E"/>
    <w:rsid w:val="004E6D72"/>
    <w:rsid w:val="004F2B1C"/>
    <w:rsid w:val="00510687"/>
    <w:rsid w:val="00540FE6"/>
    <w:rsid w:val="00550B6F"/>
    <w:rsid w:val="005751E8"/>
    <w:rsid w:val="005964EE"/>
    <w:rsid w:val="005A2CD6"/>
    <w:rsid w:val="005C3D7A"/>
    <w:rsid w:val="005E0E81"/>
    <w:rsid w:val="005E1B50"/>
    <w:rsid w:val="005E69B4"/>
    <w:rsid w:val="005E77DC"/>
    <w:rsid w:val="006369D2"/>
    <w:rsid w:val="0066504F"/>
    <w:rsid w:val="006A5DDC"/>
    <w:rsid w:val="006A6DCA"/>
    <w:rsid w:val="006B0926"/>
    <w:rsid w:val="007015AF"/>
    <w:rsid w:val="00722AEE"/>
    <w:rsid w:val="007352C8"/>
    <w:rsid w:val="00754AE5"/>
    <w:rsid w:val="007626A0"/>
    <w:rsid w:val="00786495"/>
    <w:rsid w:val="007A6DAD"/>
    <w:rsid w:val="007C36FB"/>
    <w:rsid w:val="007D4C04"/>
    <w:rsid w:val="007D7C2A"/>
    <w:rsid w:val="007E39A3"/>
    <w:rsid w:val="007E6929"/>
    <w:rsid w:val="007E79C0"/>
    <w:rsid w:val="007F7758"/>
    <w:rsid w:val="0083226C"/>
    <w:rsid w:val="00836536"/>
    <w:rsid w:val="00837BBA"/>
    <w:rsid w:val="00853BE3"/>
    <w:rsid w:val="008909E8"/>
    <w:rsid w:val="008A599D"/>
    <w:rsid w:val="008C21AF"/>
    <w:rsid w:val="008C4A97"/>
    <w:rsid w:val="008C56E2"/>
    <w:rsid w:val="00901460"/>
    <w:rsid w:val="0090257B"/>
    <w:rsid w:val="009047E9"/>
    <w:rsid w:val="00910C81"/>
    <w:rsid w:val="009264A6"/>
    <w:rsid w:val="00970883"/>
    <w:rsid w:val="009B6BA8"/>
    <w:rsid w:val="009C1D21"/>
    <w:rsid w:val="009E4DD1"/>
    <w:rsid w:val="009F4130"/>
    <w:rsid w:val="009F7052"/>
    <w:rsid w:val="00A079A4"/>
    <w:rsid w:val="00A12002"/>
    <w:rsid w:val="00A7091C"/>
    <w:rsid w:val="00AC30D9"/>
    <w:rsid w:val="00B25DEA"/>
    <w:rsid w:val="00B34331"/>
    <w:rsid w:val="00B462E8"/>
    <w:rsid w:val="00B4751B"/>
    <w:rsid w:val="00B60166"/>
    <w:rsid w:val="00B70C00"/>
    <w:rsid w:val="00B938A0"/>
    <w:rsid w:val="00BD3655"/>
    <w:rsid w:val="00BE205E"/>
    <w:rsid w:val="00BF6ADB"/>
    <w:rsid w:val="00C11857"/>
    <w:rsid w:val="00C4321A"/>
    <w:rsid w:val="00C46FB4"/>
    <w:rsid w:val="00C502A1"/>
    <w:rsid w:val="00C65556"/>
    <w:rsid w:val="00C80F5A"/>
    <w:rsid w:val="00CA5F92"/>
    <w:rsid w:val="00CB5325"/>
    <w:rsid w:val="00CB6042"/>
    <w:rsid w:val="00CD09CC"/>
    <w:rsid w:val="00CD287E"/>
    <w:rsid w:val="00CD3C58"/>
    <w:rsid w:val="00CF6113"/>
    <w:rsid w:val="00D03D1B"/>
    <w:rsid w:val="00D10335"/>
    <w:rsid w:val="00D12140"/>
    <w:rsid w:val="00D274CD"/>
    <w:rsid w:val="00D84194"/>
    <w:rsid w:val="00D86AD8"/>
    <w:rsid w:val="00D90B7C"/>
    <w:rsid w:val="00DC6AA5"/>
    <w:rsid w:val="00DD3309"/>
    <w:rsid w:val="00DE6775"/>
    <w:rsid w:val="00EA0BB7"/>
    <w:rsid w:val="00F31669"/>
    <w:rsid w:val="00F63B61"/>
    <w:rsid w:val="00F66FFC"/>
    <w:rsid w:val="00F920F4"/>
    <w:rsid w:val="00FC19CB"/>
    <w:rsid w:val="00FD3591"/>
    <w:rsid w:val="00FD473A"/>
    <w:rsid w:val="00FD54FA"/>
    <w:rsid w:val="00FE1759"/>
    <w:rsid w:val="00FE251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1E4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GO">
    <w:name w:val="GOGO"/>
    <w:basedOn w:val="Normal"/>
    <w:qFormat/>
    <w:rsid w:val="00D1214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9014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9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A0"/>
  </w:style>
  <w:style w:type="paragraph" w:styleId="Footer">
    <w:name w:val="footer"/>
    <w:basedOn w:val="Normal"/>
    <w:link w:val="FooterChar"/>
    <w:uiPriority w:val="99"/>
    <w:unhideWhenUsed/>
    <w:rsid w:val="00B93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A0"/>
  </w:style>
  <w:style w:type="paragraph" w:styleId="FootnoteText">
    <w:name w:val="footnote text"/>
    <w:basedOn w:val="Normal"/>
    <w:link w:val="FootnoteTextChar"/>
    <w:uiPriority w:val="99"/>
    <w:semiHidden/>
    <w:unhideWhenUsed/>
    <w:rsid w:val="00016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B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1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5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OGO">
    <w:name w:val="GOGO"/>
    <w:basedOn w:val="Normal"/>
    <w:qFormat/>
    <w:rsid w:val="00D1214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90146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B39F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9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3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8A0"/>
  </w:style>
  <w:style w:type="paragraph" w:styleId="Footer">
    <w:name w:val="footer"/>
    <w:basedOn w:val="Normal"/>
    <w:link w:val="FooterChar"/>
    <w:uiPriority w:val="99"/>
    <w:unhideWhenUsed/>
    <w:rsid w:val="00B938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8A0"/>
  </w:style>
  <w:style w:type="paragraph" w:styleId="FootnoteText">
    <w:name w:val="footnote text"/>
    <w:basedOn w:val="Normal"/>
    <w:link w:val="FootnoteTextChar"/>
    <w:uiPriority w:val="99"/>
    <w:semiHidden/>
    <w:unhideWhenUsed/>
    <w:rsid w:val="00016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6B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6B8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1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90DA-3730-4C63-AF31-45AE433E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 Gerov</dc:creator>
  <cp:lastModifiedBy>Y.Hristova</cp:lastModifiedBy>
  <cp:revision>3</cp:revision>
  <cp:lastPrinted>2020-11-18T08:25:00Z</cp:lastPrinted>
  <dcterms:created xsi:type="dcterms:W3CDTF">2020-11-10T10:41:00Z</dcterms:created>
  <dcterms:modified xsi:type="dcterms:W3CDTF">2020-11-18T08:25:00Z</dcterms:modified>
</cp:coreProperties>
</file>